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657" w:rsidRDefault="0046045F">
      <w:pPr>
        <w:rPr>
          <w:sz w:val="28"/>
          <w:szCs w:val="28"/>
        </w:rPr>
      </w:pPr>
      <w:bookmarkStart w:id="0" w:name="_GoBack"/>
      <w:bookmarkEnd w:id="0"/>
      <w:r>
        <w:rPr>
          <w:sz w:val="28"/>
          <w:szCs w:val="28"/>
        </w:rPr>
        <w:t xml:space="preserve">Our Healthy Families programs are part of the Healthy Families Florida statewide system.  HFF is a nationally accredited evidence-based home visiting program that prevents child abuse and neglect in families identified as being at risk for child maltreatment.  The goals of the program are to promote positive parent-child interaction, healthy child development, and increase family stability and self-sufficiency. </w:t>
      </w:r>
      <w:r w:rsidR="00553F3D">
        <w:rPr>
          <w:sz w:val="28"/>
          <w:szCs w:val="28"/>
        </w:rPr>
        <w:t>The Florida Center has been the lead agency for Healthy Families Sarasota since</w:t>
      </w:r>
      <w:r>
        <w:rPr>
          <w:sz w:val="28"/>
          <w:szCs w:val="28"/>
        </w:rPr>
        <w:t xml:space="preserve"> 1998, and added the </w:t>
      </w:r>
      <w:proofErr w:type="spellStart"/>
      <w:r>
        <w:rPr>
          <w:sz w:val="28"/>
          <w:szCs w:val="28"/>
        </w:rPr>
        <w:t>DeSoto</w:t>
      </w:r>
      <w:proofErr w:type="spellEnd"/>
      <w:r>
        <w:rPr>
          <w:sz w:val="28"/>
          <w:szCs w:val="28"/>
        </w:rPr>
        <w:t>/Hardee program in 2009. The program expanded again in 2011 with the addition of the Charlotte program.</w:t>
      </w:r>
      <w:r w:rsidR="00553F3D">
        <w:rPr>
          <w:sz w:val="28"/>
          <w:szCs w:val="28"/>
        </w:rPr>
        <w:t xml:space="preserve"> </w:t>
      </w:r>
      <w:r>
        <w:rPr>
          <w:sz w:val="28"/>
          <w:szCs w:val="28"/>
        </w:rPr>
        <w:t xml:space="preserve">In fiscal year </w:t>
      </w:r>
      <w:r w:rsidR="00DF0657">
        <w:rPr>
          <w:sz w:val="28"/>
          <w:szCs w:val="28"/>
        </w:rPr>
        <w:t>2015-16, the Sarasota program expanded to</w:t>
      </w:r>
      <w:r>
        <w:rPr>
          <w:sz w:val="28"/>
          <w:szCs w:val="28"/>
        </w:rPr>
        <w:t xml:space="preserve"> add one additional team, which resulted in the ability to serve</w:t>
      </w:r>
      <w:r w:rsidR="00DF0657">
        <w:rPr>
          <w:sz w:val="28"/>
          <w:szCs w:val="28"/>
        </w:rPr>
        <w:t xml:space="preserve"> additional</w:t>
      </w:r>
      <w:r>
        <w:rPr>
          <w:sz w:val="28"/>
          <w:szCs w:val="28"/>
        </w:rPr>
        <w:t xml:space="preserve"> high risk families in North Sarasota </w:t>
      </w:r>
      <w:proofErr w:type="gramStart"/>
      <w:r>
        <w:rPr>
          <w:sz w:val="28"/>
          <w:szCs w:val="28"/>
        </w:rPr>
        <w:t>county</w:t>
      </w:r>
      <w:proofErr w:type="gramEnd"/>
      <w:r>
        <w:rPr>
          <w:sz w:val="28"/>
          <w:szCs w:val="28"/>
        </w:rPr>
        <w:t>.</w:t>
      </w:r>
    </w:p>
    <w:p w:rsidR="00DF0657" w:rsidRDefault="00DF0657">
      <w:pPr>
        <w:rPr>
          <w:sz w:val="28"/>
          <w:szCs w:val="28"/>
        </w:rPr>
      </w:pPr>
      <w:r>
        <w:rPr>
          <w:sz w:val="28"/>
          <w:szCs w:val="28"/>
        </w:rPr>
        <w:t xml:space="preserve">The Florida Center’s Healthy Families programs are recognized at the state level each year for exceeding state outcomes.  For fiscal year 2015-16, all three programs were recognized for having the best home visit completion rates in the state.  The </w:t>
      </w:r>
      <w:proofErr w:type="spellStart"/>
      <w:r>
        <w:rPr>
          <w:sz w:val="28"/>
          <w:szCs w:val="28"/>
        </w:rPr>
        <w:t>DeSoto</w:t>
      </w:r>
      <w:proofErr w:type="spellEnd"/>
      <w:r>
        <w:rPr>
          <w:sz w:val="28"/>
          <w:szCs w:val="28"/>
        </w:rPr>
        <w:t>/Hardee program received a Certificate of Excellence for meeting each outcome and wa</w:t>
      </w:r>
      <w:r w:rsidR="0046045F">
        <w:rPr>
          <w:sz w:val="28"/>
          <w:szCs w:val="28"/>
        </w:rPr>
        <w:t>s recognized for their</w:t>
      </w:r>
      <w:r>
        <w:rPr>
          <w:sz w:val="28"/>
          <w:szCs w:val="28"/>
        </w:rPr>
        <w:t xml:space="preserve"> participant retention rate.  Holly Board of Sarasota was named the Healthy Families Florida Supervisor of the Year and Denise Tejada of Charlotte was named the state’s Family Support Worker of the Year.</w:t>
      </w:r>
    </w:p>
    <w:p w:rsidR="00DF0657" w:rsidRDefault="00DF0657">
      <w:pPr>
        <w:rPr>
          <w:sz w:val="28"/>
          <w:szCs w:val="28"/>
        </w:rPr>
      </w:pPr>
    </w:p>
    <w:p w:rsidR="00DF0657" w:rsidRDefault="00DF0657">
      <w:pPr>
        <w:rPr>
          <w:sz w:val="28"/>
          <w:szCs w:val="28"/>
        </w:rPr>
      </w:pPr>
      <w:r>
        <w:rPr>
          <w:sz w:val="28"/>
          <w:szCs w:val="28"/>
        </w:rPr>
        <w:t>Budget – include some information about budget (ask Charmian whether to use total number including in-kind - $2,327,197 or just actua</w:t>
      </w:r>
      <w:r w:rsidR="0046045F">
        <w:rPr>
          <w:sz w:val="28"/>
          <w:szCs w:val="28"/>
        </w:rPr>
        <w:t>l funding which was $2,172,125.)</w:t>
      </w:r>
      <w:r>
        <w:rPr>
          <w:sz w:val="28"/>
          <w:szCs w:val="28"/>
        </w:rPr>
        <w:t xml:space="preserve"> </w:t>
      </w:r>
    </w:p>
    <w:p w:rsidR="00DF0657" w:rsidRDefault="0046045F">
      <w:pPr>
        <w:rPr>
          <w:sz w:val="28"/>
          <w:szCs w:val="28"/>
        </w:rPr>
      </w:pPr>
      <w:r>
        <w:rPr>
          <w:sz w:val="28"/>
          <w:szCs w:val="28"/>
        </w:rPr>
        <w:t>Total Staff:  45</w:t>
      </w:r>
    </w:p>
    <w:p w:rsidR="00DF0657" w:rsidRDefault="00553F3D">
      <w:pPr>
        <w:rPr>
          <w:sz w:val="28"/>
          <w:szCs w:val="28"/>
        </w:rPr>
      </w:pPr>
      <w:r>
        <w:rPr>
          <w:sz w:val="28"/>
          <w:szCs w:val="28"/>
        </w:rPr>
        <w:t>Numbers Served FY 15-16:</w:t>
      </w:r>
    </w:p>
    <w:tbl>
      <w:tblPr>
        <w:tblStyle w:val="TableGrid"/>
        <w:tblW w:w="0" w:type="auto"/>
        <w:tblLook w:val="04A0" w:firstRow="1" w:lastRow="0" w:firstColumn="1" w:lastColumn="0" w:noHBand="0" w:noVBand="1"/>
      </w:tblPr>
      <w:tblGrid>
        <w:gridCol w:w="3192"/>
        <w:gridCol w:w="3192"/>
        <w:gridCol w:w="3192"/>
      </w:tblGrid>
      <w:tr w:rsidR="00553F3D" w:rsidTr="00553F3D">
        <w:tc>
          <w:tcPr>
            <w:tcW w:w="3192" w:type="dxa"/>
          </w:tcPr>
          <w:p w:rsidR="00553F3D" w:rsidRDefault="00553F3D" w:rsidP="00553F3D">
            <w:pPr>
              <w:jc w:val="center"/>
              <w:rPr>
                <w:sz w:val="28"/>
                <w:szCs w:val="28"/>
              </w:rPr>
            </w:pPr>
            <w:r>
              <w:rPr>
                <w:sz w:val="28"/>
                <w:szCs w:val="28"/>
              </w:rPr>
              <w:t>Program</w:t>
            </w:r>
          </w:p>
        </w:tc>
        <w:tc>
          <w:tcPr>
            <w:tcW w:w="3192" w:type="dxa"/>
          </w:tcPr>
          <w:p w:rsidR="00553F3D" w:rsidRDefault="00553F3D" w:rsidP="00553F3D">
            <w:pPr>
              <w:jc w:val="center"/>
              <w:rPr>
                <w:sz w:val="28"/>
                <w:szCs w:val="28"/>
              </w:rPr>
            </w:pPr>
            <w:r>
              <w:rPr>
                <w:sz w:val="28"/>
                <w:szCs w:val="28"/>
              </w:rPr>
              <w:t>Contracted # to Serve</w:t>
            </w:r>
          </w:p>
        </w:tc>
        <w:tc>
          <w:tcPr>
            <w:tcW w:w="3192" w:type="dxa"/>
          </w:tcPr>
          <w:p w:rsidR="00553F3D" w:rsidRDefault="00553F3D" w:rsidP="00553F3D">
            <w:pPr>
              <w:jc w:val="center"/>
              <w:rPr>
                <w:sz w:val="28"/>
                <w:szCs w:val="28"/>
              </w:rPr>
            </w:pPr>
            <w:r>
              <w:rPr>
                <w:sz w:val="28"/>
                <w:szCs w:val="28"/>
              </w:rPr>
              <w:t>Total Number Served</w:t>
            </w:r>
          </w:p>
        </w:tc>
      </w:tr>
      <w:tr w:rsidR="00553F3D" w:rsidTr="00553F3D">
        <w:tc>
          <w:tcPr>
            <w:tcW w:w="3192" w:type="dxa"/>
          </w:tcPr>
          <w:p w:rsidR="00553F3D" w:rsidRDefault="00553F3D" w:rsidP="00553F3D">
            <w:pPr>
              <w:jc w:val="center"/>
              <w:rPr>
                <w:sz w:val="28"/>
                <w:szCs w:val="28"/>
              </w:rPr>
            </w:pPr>
            <w:r>
              <w:rPr>
                <w:sz w:val="28"/>
                <w:szCs w:val="28"/>
              </w:rPr>
              <w:t>Sarasota</w:t>
            </w:r>
          </w:p>
        </w:tc>
        <w:tc>
          <w:tcPr>
            <w:tcW w:w="3192" w:type="dxa"/>
          </w:tcPr>
          <w:p w:rsidR="00553F3D" w:rsidRDefault="00553F3D" w:rsidP="00553F3D">
            <w:pPr>
              <w:jc w:val="center"/>
              <w:rPr>
                <w:sz w:val="28"/>
                <w:szCs w:val="28"/>
              </w:rPr>
            </w:pPr>
            <w:r>
              <w:rPr>
                <w:sz w:val="28"/>
                <w:szCs w:val="28"/>
              </w:rPr>
              <w:t>449</w:t>
            </w:r>
          </w:p>
        </w:tc>
        <w:tc>
          <w:tcPr>
            <w:tcW w:w="3192" w:type="dxa"/>
          </w:tcPr>
          <w:p w:rsidR="00553F3D" w:rsidRDefault="00553F3D" w:rsidP="00553F3D">
            <w:pPr>
              <w:jc w:val="center"/>
              <w:rPr>
                <w:sz w:val="28"/>
                <w:szCs w:val="28"/>
              </w:rPr>
            </w:pPr>
            <w:r>
              <w:rPr>
                <w:sz w:val="28"/>
                <w:szCs w:val="28"/>
              </w:rPr>
              <w:t>472</w:t>
            </w:r>
          </w:p>
        </w:tc>
      </w:tr>
      <w:tr w:rsidR="00553F3D" w:rsidTr="00553F3D">
        <w:tc>
          <w:tcPr>
            <w:tcW w:w="3192" w:type="dxa"/>
          </w:tcPr>
          <w:p w:rsidR="00553F3D" w:rsidRDefault="00553F3D" w:rsidP="00553F3D">
            <w:pPr>
              <w:jc w:val="center"/>
              <w:rPr>
                <w:sz w:val="28"/>
                <w:szCs w:val="28"/>
              </w:rPr>
            </w:pPr>
            <w:proofErr w:type="spellStart"/>
            <w:r>
              <w:rPr>
                <w:sz w:val="28"/>
                <w:szCs w:val="28"/>
              </w:rPr>
              <w:t>DeSoto</w:t>
            </w:r>
            <w:proofErr w:type="spellEnd"/>
            <w:r>
              <w:rPr>
                <w:sz w:val="28"/>
                <w:szCs w:val="28"/>
              </w:rPr>
              <w:t>/Hardee</w:t>
            </w:r>
          </w:p>
        </w:tc>
        <w:tc>
          <w:tcPr>
            <w:tcW w:w="3192" w:type="dxa"/>
          </w:tcPr>
          <w:p w:rsidR="00553F3D" w:rsidRDefault="00553F3D" w:rsidP="00553F3D">
            <w:pPr>
              <w:jc w:val="center"/>
              <w:rPr>
                <w:sz w:val="28"/>
                <w:szCs w:val="28"/>
              </w:rPr>
            </w:pPr>
            <w:r>
              <w:rPr>
                <w:sz w:val="28"/>
                <w:szCs w:val="28"/>
              </w:rPr>
              <w:t>98</w:t>
            </w:r>
          </w:p>
        </w:tc>
        <w:tc>
          <w:tcPr>
            <w:tcW w:w="3192" w:type="dxa"/>
          </w:tcPr>
          <w:p w:rsidR="00553F3D" w:rsidRDefault="00553F3D" w:rsidP="00553F3D">
            <w:pPr>
              <w:jc w:val="center"/>
              <w:rPr>
                <w:sz w:val="28"/>
                <w:szCs w:val="28"/>
              </w:rPr>
            </w:pPr>
            <w:r>
              <w:rPr>
                <w:sz w:val="28"/>
                <w:szCs w:val="28"/>
              </w:rPr>
              <w:t>123</w:t>
            </w:r>
          </w:p>
        </w:tc>
      </w:tr>
      <w:tr w:rsidR="00553F3D" w:rsidTr="00553F3D">
        <w:tc>
          <w:tcPr>
            <w:tcW w:w="3192" w:type="dxa"/>
          </w:tcPr>
          <w:p w:rsidR="00553F3D" w:rsidRDefault="00553F3D" w:rsidP="00553F3D">
            <w:pPr>
              <w:jc w:val="center"/>
              <w:rPr>
                <w:sz w:val="28"/>
                <w:szCs w:val="28"/>
              </w:rPr>
            </w:pPr>
            <w:r>
              <w:rPr>
                <w:sz w:val="28"/>
                <w:szCs w:val="28"/>
              </w:rPr>
              <w:t>Charlotte</w:t>
            </w:r>
          </w:p>
        </w:tc>
        <w:tc>
          <w:tcPr>
            <w:tcW w:w="3192" w:type="dxa"/>
          </w:tcPr>
          <w:p w:rsidR="00553F3D" w:rsidRDefault="00553F3D" w:rsidP="00553F3D">
            <w:pPr>
              <w:jc w:val="center"/>
              <w:rPr>
                <w:sz w:val="28"/>
                <w:szCs w:val="28"/>
              </w:rPr>
            </w:pPr>
            <w:r>
              <w:rPr>
                <w:sz w:val="28"/>
                <w:szCs w:val="28"/>
              </w:rPr>
              <w:t>125</w:t>
            </w:r>
          </w:p>
        </w:tc>
        <w:tc>
          <w:tcPr>
            <w:tcW w:w="3192" w:type="dxa"/>
          </w:tcPr>
          <w:p w:rsidR="00553F3D" w:rsidRDefault="00553F3D" w:rsidP="00553F3D">
            <w:pPr>
              <w:jc w:val="center"/>
              <w:rPr>
                <w:sz w:val="28"/>
                <w:szCs w:val="28"/>
              </w:rPr>
            </w:pPr>
            <w:r>
              <w:rPr>
                <w:sz w:val="28"/>
                <w:szCs w:val="28"/>
              </w:rPr>
              <w:t>119</w:t>
            </w:r>
          </w:p>
        </w:tc>
      </w:tr>
      <w:tr w:rsidR="00553F3D" w:rsidTr="00553F3D">
        <w:tc>
          <w:tcPr>
            <w:tcW w:w="3192" w:type="dxa"/>
          </w:tcPr>
          <w:p w:rsidR="00553F3D" w:rsidRDefault="00553F3D" w:rsidP="00553F3D">
            <w:pPr>
              <w:jc w:val="center"/>
              <w:rPr>
                <w:sz w:val="28"/>
                <w:szCs w:val="28"/>
              </w:rPr>
            </w:pPr>
            <w:r>
              <w:rPr>
                <w:sz w:val="28"/>
                <w:szCs w:val="28"/>
              </w:rPr>
              <w:t>Totals</w:t>
            </w:r>
          </w:p>
        </w:tc>
        <w:tc>
          <w:tcPr>
            <w:tcW w:w="3192" w:type="dxa"/>
          </w:tcPr>
          <w:p w:rsidR="00553F3D" w:rsidRDefault="00553F3D" w:rsidP="00553F3D">
            <w:pPr>
              <w:jc w:val="center"/>
              <w:rPr>
                <w:sz w:val="28"/>
                <w:szCs w:val="28"/>
              </w:rPr>
            </w:pPr>
            <w:r>
              <w:rPr>
                <w:sz w:val="28"/>
                <w:szCs w:val="28"/>
              </w:rPr>
              <w:t>672</w:t>
            </w:r>
          </w:p>
        </w:tc>
        <w:tc>
          <w:tcPr>
            <w:tcW w:w="3192" w:type="dxa"/>
          </w:tcPr>
          <w:p w:rsidR="00553F3D" w:rsidRDefault="00553F3D" w:rsidP="00553F3D">
            <w:pPr>
              <w:jc w:val="center"/>
              <w:rPr>
                <w:sz w:val="28"/>
                <w:szCs w:val="28"/>
              </w:rPr>
            </w:pPr>
            <w:r>
              <w:rPr>
                <w:sz w:val="28"/>
                <w:szCs w:val="28"/>
              </w:rPr>
              <w:t>714</w:t>
            </w:r>
          </w:p>
        </w:tc>
      </w:tr>
    </w:tbl>
    <w:p w:rsidR="00553F3D" w:rsidRDefault="00553F3D">
      <w:pPr>
        <w:rPr>
          <w:sz w:val="28"/>
          <w:szCs w:val="28"/>
        </w:rPr>
      </w:pPr>
    </w:p>
    <w:p w:rsidR="00553F3D" w:rsidRDefault="00553F3D">
      <w:pPr>
        <w:rPr>
          <w:sz w:val="28"/>
          <w:szCs w:val="28"/>
        </w:rPr>
      </w:pPr>
      <w:r>
        <w:rPr>
          <w:sz w:val="28"/>
          <w:szCs w:val="28"/>
        </w:rPr>
        <w:t>Outcomes for FY 15-16:</w:t>
      </w:r>
    </w:p>
    <w:tbl>
      <w:tblPr>
        <w:tblStyle w:val="TableGrid"/>
        <w:tblW w:w="10530" w:type="dxa"/>
        <w:tblInd w:w="-432" w:type="dxa"/>
        <w:tblLook w:val="04A0" w:firstRow="1" w:lastRow="0" w:firstColumn="1" w:lastColumn="0" w:noHBand="0" w:noVBand="1"/>
      </w:tblPr>
      <w:tblGrid>
        <w:gridCol w:w="2826"/>
        <w:gridCol w:w="2394"/>
        <w:gridCol w:w="2394"/>
        <w:gridCol w:w="2916"/>
      </w:tblGrid>
      <w:tr w:rsidR="00553F3D" w:rsidTr="00553F3D">
        <w:tc>
          <w:tcPr>
            <w:tcW w:w="2826" w:type="dxa"/>
          </w:tcPr>
          <w:p w:rsidR="00553F3D" w:rsidRDefault="00553F3D" w:rsidP="00553F3D">
            <w:pPr>
              <w:jc w:val="center"/>
              <w:rPr>
                <w:sz w:val="28"/>
                <w:szCs w:val="28"/>
              </w:rPr>
            </w:pPr>
            <w:r>
              <w:rPr>
                <w:sz w:val="28"/>
                <w:szCs w:val="28"/>
              </w:rPr>
              <w:t>Outcome</w:t>
            </w:r>
          </w:p>
        </w:tc>
        <w:tc>
          <w:tcPr>
            <w:tcW w:w="2394" w:type="dxa"/>
          </w:tcPr>
          <w:p w:rsidR="00553F3D" w:rsidRDefault="00553F3D" w:rsidP="00553F3D">
            <w:pPr>
              <w:jc w:val="center"/>
              <w:rPr>
                <w:sz w:val="28"/>
                <w:szCs w:val="28"/>
              </w:rPr>
            </w:pPr>
            <w:r>
              <w:rPr>
                <w:sz w:val="28"/>
                <w:szCs w:val="28"/>
              </w:rPr>
              <w:t>Sarasota</w:t>
            </w:r>
          </w:p>
        </w:tc>
        <w:tc>
          <w:tcPr>
            <w:tcW w:w="2394" w:type="dxa"/>
          </w:tcPr>
          <w:p w:rsidR="00553F3D" w:rsidRDefault="00553F3D" w:rsidP="00553F3D">
            <w:pPr>
              <w:jc w:val="center"/>
              <w:rPr>
                <w:sz w:val="28"/>
                <w:szCs w:val="28"/>
              </w:rPr>
            </w:pPr>
            <w:proofErr w:type="spellStart"/>
            <w:r>
              <w:rPr>
                <w:sz w:val="28"/>
                <w:szCs w:val="28"/>
              </w:rPr>
              <w:t>DeSoto</w:t>
            </w:r>
            <w:proofErr w:type="spellEnd"/>
            <w:r>
              <w:rPr>
                <w:sz w:val="28"/>
                <w:szCs w:val="28"/>
              </w:rPr>
              <w:t>/Hardee</w:t>
            </w:r>
          </w:p>
        </w:tc>
        <w:tc>
          <w:tcPr>
            <w:tcW w:w="2916" w:type="dxa"/>
          </w:tcPr>
          <w:p w:rsidR="00553F3D" w:rsidRDefault="00553F3D" w:rsidP="00553F3D">
            <w:pPr>
              <w:jc w:val="center"/>
              <w:rPr>
                <w:sz w:val="28"/>
                <w:szCs w:val="28"/>
              </w:rPr>
            </w:pPr>
            <w:r>
              <w:rPr>
                <w:sz w:val="28"/>
                <w:szCs w:val="28"/>
              </w:rPr>
              <w:t>Charlotte</w:t>
            </w:r>
          </w:p>
        </w:tc>
      </w:tr>
      <w:tr w:rsidR="00553F3D" w:rsidTr="00553F3D">
        <w:tc>
          <w:tcPr>
            <w:tcW w:w="2826" w:type="dxa"/>
          </w:tcPr>
          <w:p w:rsidR="00553F3D" w:rsidRDefault="00553F3D" w:rsidP="00553F3D">
            <w:pPr>
              <w:jc w:val="center"/>
              <w:rPr>
                <w:sz w:val="28"/>
                <w:szCs w:val="28"/>
              </w:rPr>
            </w:pPr>
            <w:r>
              <w:rPr>
                <w:sz w:val="28"/>
                <w:szCs w:val="28"/>
              </w:rPr>
              <w:t>95% of children in families who complete the program will have no verified findings of child maltreatment within 12 months of completion</w:t>
            </w:r>
          </w:p>
        </w:tc>
        <w:tc>
          <w:tcPr>
            <w:tcW w:w="2394" w:type="dxa"/>
          </w:tcPr>
          <w:p w:rsidR="00553F3D" w:rsidRDefault="00553F3D" w:rsidP="00553F3D">
            <w:pPr>
              <w:jc w:val="center"/>
              <w:rPr>
                <w:sz w:val="28"/>
                <w:szCs w:val="28"/>
              </w:rPr>
            </w:pPr>
            <w:r>
              <w:rPr>
                <w:sz w:val="28"/>
                <w:szCs w:val="28"/>
              </w:rPr>
              <w:t>100%</w:t>
            </w:r>
          </w:p>
        </w:tc>
        <w:tc>
          <w:tcPr>
            <w:tcW w:w="2394" w:type="dxa"/>
          </w:tcPr>
          <w:p w:rsidR="00553F3D" w:rsidRDefault="00553F3D" w:rsidP="00553F3D">
            <w:pPr>
              <w:jc w:val="center"/>
              <w:rPr>
                <w:sz w:val="28"/>
                <w:szCs w:val="28"/>
              </w:rPr>
            </w:pPr>
            <w:r>
              <w:rPr>
                <w:sz w:val="28"/>
                <w:szCs w:val="28"/>
              </w:rPr>
              <w:t>100%</w:t>
            </w:r>
          </w:p>
        </w:tc>
        <w:tc>
          <w:tcPr>
            <w:tcW w:w="2916" w:type="dxa"/>
          </w:tcPr>
          <w:p w:rsidR="00553F3D" w:rsidRDefault="00553F3D" w:rsidP="00553F3D">
            <w:pPr>
              <w:jc w:val="center"/>
              <w:rPr>
                <w:sz w:val="28"/>
                <w:szCs w:val="28"/>
              </w:rPr>
            </w:pPr>
            <w:r>
              <w:rPr>
                <w:sz w:val="28"/>
                <w:szCs w:val="28"/>
              </w:rPr>
              <w:t>100%</w:t>
            </w:r>
          </w:p>
        </w:tc>
      </w:tr>
      <w:tr w:rsidR="00553F3D" w:rsidTr="00553F3D">
        <w:tc>
          <w:tcPr>
            <w:tcW w:w="2826" w:type="dxa"/>
          </w:tcPr>
          <w:p w:rsidR="00553F3D" w:rsidRDefault="00553F3D" w:rsidP="00553F3D">
            <w:pPr>
              <w:jc w:val="center"/>
              <w:rPr>
                <w:sz w:val="28"/>
                <w:szCs w:val="28"/>
              </w:rPr>
            </w:pPr>
            <w:r>
              <w:rPr>
                <w:sz w:val="28"/>
                <w:szCs w:val="28"/>
              </w:rPr>
              <w:t>95% of children in families participating in services for at least 6 months will have no verified findings of child maltreatment during participation</w:t>
            </w:r>
          </w:p>
        </w:tc>
        <w:tc>
          <w:tcPr>
            <w:tcW w:w="2394" w:type="dxa"/>
          </w:tcPr>
          <w:p w:rsidR="00553F3D" w:rsidRDefault="00553F3D" w:rsidP="00553F3D">
            <w:pPr>
              <w:jc w:val="center"/>
              <w:rPr>
                <w:sz w:val="28"/>
                <w:szCs w:val="28"/>
              </w:rPr>
            </w:pPr>
            <w:r>
              <w:rPr>
                <w:sz w:val="28"/>
                <w:szCs w:val="28"/>
              </w:rPr>
              <w:t>96%</w:t>
            </w:r>
          </w:p>
        </w:tc>
        <w:tc>
          <w:tcPr>
            <w:tcW w:w="2394" w:type="dxa"/>
          </w:tcPr>
          <w:p w:rsidR="00553F3D" w:rsidRDefault="00553F3D" w:rsidP="00553F3D">
            <w:pPr>
              <w:jc w:val="center"/>
              <w:rPr>
                <w:sz w:val="28"/>
                <w:szCs w:val="28"/>
              </w:rPr>
            </w:pPr>
            <w:r>
              <w:rPr>
                <w:sz w:val="28"/>
                <w:szCs w:val="28"/>
              </w:rPr>
              <w:t>100%</w:t>
            </w:r>
          </w:p>
        </w:tc>
        <w:tc>
          <w:tcPr>
            <w:tcW w:w="2916" w:type="dxa"/>
          </w:tcPr>
          <w:p w:rsidR="00553F3D" w:rsidRDefault="00553F3D" w:rsidP="00553F3D">
            <w:pPr>
              <w:jc w:val="center"/>
              <w:rPr>
                <w:sz w:val="28"/>
                <w:szCs w:val="28"/>
              </w:rPr>
            </w:pPr>
            <w:r>
              <w:rPr>
                <w:sz w:val="28"/>
                <w:szCs w:val="28"/>
              </w:rPr>
              <w:t>100%</w:t>
            </w:r>
          </w:p>
        </w:tc>
      </w:tr>
      <w:tr w:rsidR="00553F3D" w:rsidTr="00553F3D">
        <w:tc>
          <w:tcPr>
            <w:tcW w:w="2826" w:type="dxa"/>
          </w:tcPr>
          <w:p w:rsidR="00553F3D" w:rsidRDefault="00553F3D" w:rsidP="00553F3D">
            <w:pPr>
              <w:jc w:val="center"/>
              <w:rPr>
                <w:sz w:val="28"/>
                <w:szCs w:val="28"/>
              </w:rPr>
            </w:pPr>
            <w:r>
              <w:rPr>
                <w:sz w:val="28"/>
                <w:szCs w:val="28"/>
              </w:rPr>
              <w:t>85% of children will be fully immunized by age 2</w:t>
            </w:r>
          </w:p>
        </w:tc>
        <w:tc>
          <w:tcPr>
            <w:tcW w:w="2394" w:type="dxa"/>
          </w:tcPr>
          <w:p w:rsidR="00553F3D" w:rsidRDefault="00553F3D" w:rsidP="00553F3D">
            <w:pPr>
              <w:jc w:val="center"/>
              <w:rPr>
                <w:sz w:val="28"/>
                <w:szCs w:val="28"/>
              </w:rPr>
            </w:pPr>
            <w:r>
              <w:rPr>
                <w:sz w:val="28"/>
                <w:szCs w:val="28"/>
              </w:rPr>
              <w:t>96%</w:t>
            </w:r>
          </w:p>
        </w:tc>
        <w:tc>
          <w:tcPr>
            <w:tcW w:w="2394" w:type="dxa"/>
          </w:tcPr>
          <w:p w:rsidR="00553F3D" w:rsidRDefault="00553F3D" w:rsidP="00553F3D">
            <w:pPr>
              <w:jc w:val="center"/>
              <w:rPr>
                <w:sz w:val="28"/>
                <w:szCs w:val="28"/>
              </w:rPr>
            </w:pPr>
            <w:r>
              <w:rPr>
                <w:sz w:val="28"/>
                <w:szCs w:val="28"/>
              </w:rPr>
              <w:t>100%</w:t>
            </w:r>
          </w:p>
        </w:tc>
        <w:tc>
          <w:tcPr>
            <w:tcW w:w="2916" w:type="dxa"/>
          </w:tcPr>
          <w:p w:rsidR="00553F3D" w:rsidRDefault="00553F3D" w:rsidP="00553F3D">
            <w:pPr>
              <w:jc w:val="center"/>
              <w:rPr>
                <w:sz w:val="28"/>
                <w:szCs w:val="28"/>
              </w:rPr>
            </w:pPr>
            <w:r>
              <w:rPr>
                <w:sz w:val="28"/>
                <w:szCs w:val="28"/>
              </w:rPr>
              <w:t>93%</w:t>
            </w:r>
          </w:p>
        </w:tc>
      </w:tr>
      <w:tr w:rsidR="00553F3D" w:rsidTr="00553F3D">
        <w:tc>
          <w:tcPr>
            <w:tcW w:w="2826" w:type="dxa"/>
          </w:tcPr>
          <w:p w:rsidR="00553F3D" w:rsidRDefault="00553F3D" w:rsidP="00553F3D">
            <w:pPr>
              <w:jc w:val="center"/>
              <w:rPr>
                <w:sz w:val="28"/>
                <w:szCs w:val="28"/>
              </w:rPr>
            </w:pPr>
            <w:r>
              <w:rPr>
                <w:sz w:val="28"/>
                <w:szCs w:val="28"/>
              </w:rPr>
              <w:t>80% of participants will improve or maintain their self-sufficiency while enrolled</w:t>
            </w:r>
          </w:p>
        </w:tc>
        <w:tc>
          <w:tcPr>
            <w:tcW w:w="2394" w:type="dxa"/>
          </w:tcPr>
          <w:p w:rsidR="00553F3D" w:rsidRDefault="00553F3D" w:rsidP="00553F3D">
            <w:pPr>
              <w:jc w:val="center"/>
              <w:rPr>
                <w:sz w:val="28"/>
                <w:szCs w:val="28"/>
              </w:rPr>
            </w:pPr>
            <w:r>
              <w:rPr>
                <w:sz w:val="28"/>
                <w:szCs w:val="28"/>
              </w:rPr>
              <w:t>93%</w:t>
            </w:r>
          </w:p>
        </w:tc>
        <w:tc>
          <w:tcPr>
            <w:tcW w:w="2394" w:type="dxa"/>
          </w:tcPr>
          <w:p w:rsidR="00553F3D" w:rsidRDefault="00553F3D" w:rsidP="00553F3D">
            <w:pPr>
              <w:jc w:val="center"/>
              <w:rPr>
                <w:sz w:val="28"/>
                <w:szCs w:val="28"/>
              </w:rPr>
            </w:pPr>
            <w:r>
              <w:rPr>
                <w:sz w:val="28"/>
                <w:szCs w:val="28"/>
              </w:rPr>
              <w:t>82%</w:t>
            </w:r>
          </w:p>
        </w:tc>
        <w:tc>
          <w:tcPr>
            <w:tcW w:w="2916" w:type="dxa"/>
          </w:tcPr>
          <w:p w:rsidR="00553F3D" w:rsidRDefault="00553F3D" w:rsidP="00553F3D">
            <w:pPr>
              <w:jc w:val="center"/>
              <w:rPr>
                <w:sz w:val="28"/>
                <w:szCs w:val="28"/>
              </w:rPr>
            </w:pPr>
            <w:r>
              <w:rPr>
                <w:sz w:val="28"/>
                <w:szCs w:val="28"/>
              </w:rPr>
              <w:t>85%</w:t>
            </w:r>
          </w:p>
        </w:tc>
      </w:tr>
      <w:tr w:rsidR="00553F3D" w:rsidTr="00553F3D">
        <w:tc>
          <w:tcPr>
            <w:tcW w:w="2826" w:type="dxa"/>
          </w:tcPr>
          <w:p w:rsidR="00553F3D" w:rsidRDefault="00553F3D" w:rsidP="00553F3D">
            <w:pPr>
              <w:jc w:val="center"/>
              <w:rPr>
                <w:sz w:val="28"/>
                <w:szCs w:val="28"/>
              </w:rPr>
            </w:pPr>
            <w:r>
              <w:rPr>
                <w:sz w:val="28"/>
                <w:szCs w:val="28"/>
              </w:rPr>
              <w:t>80% of participants will receive at least 75% of home visits according to level</w:t>
            </w:r>
          </w:p>
        </w:tc>
        <w:tc>
          <w:tcPr>
            <w:tcW w:w="2394" w:type="dxa"/>
          </w:tcPr>
          <w:p w:rsidR="00553F3D" w:rsidRDefault="00553F3D" w:rsidP="00553F3D">
            <w:pPr>
              <w:jc w:val="center"/>
              <w:rPr>
                <w:sz w:val="28"/>
                <w:szCs w:val="28"/>
              </w:rPr>
            </w:pPr>
            <w:r>
              <w:rPr>
                <w:sz w:val="28"/>
                <w:szCs w:val="28"/>
              </w:rPr>
              <w:t>89%</w:t>
            </w:r>
          </w:p>
        </w:tc>
        <w:tc>
          <w:tcPr>
            <w:tcW w:w="2394" w:type="dxa"/>
          </w:tcPr>
          <w:p w:rsidR="00553F3D" w:rsidRDefault="00553F3D" w:rsidP="00553F3D">
            <w:pPr>
              <w:jc w:val="center"/>
              <w:rPr>
                <w:sz w:val="28"/>
                <w:szCs w:val="28"/>
              </w:rPr>
            </w:pPr>
            <w:r>
              <w:rPr>
                <w:sz w:val="28"/>
                <w:szCs w:val="28"/>
              </w:rPr>
              <w:t>87%</w:t>
            </w:r>
          </w:p>
        </w:tc>
        <w:tc>
          <w:tcPr>
            <w:tcW w:w="2916" w:type="dxa"/>
          </w:tcPr>
          <w:p w:rsidR="00553F3D" w:rsidRDefault="00553F3D" w:rsidP="00553F3D">
            <w:pPr>
              <w:jc w:val="center"/>
              <w:rPr>
                <w:sz w:val="28"/>
                <w:szCs w:val="28"/>
              </w:rPr>
            </w:pPr>
            <w:r>
              <w:rPr>
                <w:sz w:val="28"/>
                <w:szCs w:val="28"/>
              </w:rPr>
              <w:t>82%</w:t>
            </w:r>
          </w:p>
        </w:tc>
      </w:tr>
    </w:tbl>
    <w:p w:rsidR="00553F3D" w:rsidRPr="00DF0657" w:rsidRDefault="00553F3D" w:rsidP="00553F3D">
      <w:pPr>
        <w:rPr>
          <w:sz w:val="28"/>
          <w:szCs w:val="28"/>
        </w:rPr>
      </w:pPr>
    </w:p>
    <w:sectPr w:rsidR="00553F3D" w:rsidRPr="00DF06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657"/>
    <w:rsid w:val="0046045F"/>
    <w:rsid w:val="00553F3D"/>
    <w:rsid w:val="00610FFD"/>
    <w:rsid w:val="00BE15F5"/>
    <w:rsid w:val="00DF0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3F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3F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Keyso</dc:creator>
  <cp:lastModifiedBy>Kaitlyn Kramer</cp:lastModifiedBy>
  <cp:revision>2</cp:revision>
  <dcterms:created xsi:type="dcterms:W3CDTF">2017-05-10T15:18:00Z</dcterms:created>
  <dcterms:modified xsi:type="dcterms:W3CDTF">2017-05-10T15:18:00Z</dcterms:modified>
</cp:coreProperties>
</file>